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62" w:rsidRDefault="00D7765E" w:rsidP="00753728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 xml:space="preserve">Инструкция </w:t>
      </w:r>
    </w:p>
    <w:p w:rsidR="00D47997" w:rsidRPr="003350D0" w:rsidRDefault="00D7765E" w:rsidP="00753728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«Действия грузополучателя при приёмке груза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>,</w:t>
      </w:r>
      <w:r w:rsidR="00945B67" w:rsidRP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945B67" w:rsidRPr="003350D0">
        <w:rPr>
          <w:rFonts w:ascii="Times New Roman" w:hAnsi="Times New Roman"/>
          <w:b/>
          <w:color w:val="000000" w:themeColor="text1"/>
          <w:sz w:val="36"/>
          <w:szCs w:val="36"/>
        </w:rPr>
        <w:t>прибывшего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EA0E29">
        <w:rPr>
          <w:rFonts w:ascii="Times New Roman" w:hAnsi="Times New Roman"/>
          <w:b/>
          <w:color w:val="000000" w:themeColor="text1"/>
          <w:sz w:val="36"/>
          <w:szCs w:val="36"/>
        </w:rPr>
        <w:t>железнодорожным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транспортом</w:t>
      </w: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p w:rsidR="00D7765E" w:rsidRPr="003350D0" w:rsidRDefault="00D7765E" w:rsidP="00D7765E">
      <w:pPr>
        <w:pStyle w:val="aa"/>
        <w:ind w:left="1425"/>
        <w:jc w:val="both"/>
        <w:rPr>
          <w:rFonts w:ascii="Times New Roman" w:hAnsi="Times New Roman"/>
          <w:b/>
          <w:szCs w:val="24"/>
        </w:rPr>
      </w:pPr>
    </w:p>
    <w:p w:rsidR="008F777F" w:rsidRPr="003350D0" w:rsidRDefault="008F777F" w:rsidP="008F777F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Cs w:val="24"/>
        </w:rPr>
      </w:pPr>
      <w:r w:rsidRPr="003350D0">
        <w:rPr>
          <w:rFonts w:ascii="Times New Roman" w:hAnsi="Times New Roman"/>
          <w:b/>
          <w:szCs w:val="24"/>
        </w:rPr>
        <w:t>Приемка груза:</w:t>
      </w:r>
    </w:p>
    <w:p w:rsidR="008F777F" w:rsidRDefault="008F777F" w:rsidP="00EA0E29">
      <w:pPr>
        <w:ind w:firstLine="708"/>
        <w:jc w:val="both"/>
        <w:rPr>
          <w:rFonts w:ascii="Times New Roman" w:hAnsi="Times New Roman"/>
          <w:szCs w:val="24"/>
        </w:rPr>
      </w:pPr>
    </w:p>
    <w:p w:rsidR="00EA0E29" w:rsidRDefault="00EA0E29" w:rsidP="00AA5562">
      <w:pPr>
        <w:ind w:left="705" w:firstLine="3"/>
        <w:jc w:val="both"/>
        <w:rPr>
          <w:rFonts w:ascii="Times New Roman" w:hAnsi="Times New Roman"/>
          <w:szCs w:val="24"/>
        </w:rPr>
      </w:pPr>
      <w:r w:rsidRPr="00EA0E29">
        <w:rPr>
          <w:rFonts w:ascii="Times New Roman" w:hAnsi="Times New Roman"/>
          <w:szCs w:val="24"/>
        </w:rPr>
        <w:t>Перед приемкой груза у железной дороги уполномоченные сотрудники грузополучателя должны:</w:t>
      </w:r>
      <w:r w:rsidRPr="00EA0E29">
        <w:rPr>
          <w:rFonts w:ascii="Times New Roman" w:hAnsi="Times New Roman"/>
          <w:szCs w:val="24"/>
        </w:rPr>
        <w:tab/>
      </w:r>
    </w:p>
    <w:p w:rsidR="008F777F" w:rsidRPr="00EA0E29" w:rsidRDefault="008F777F" w:rsidP="00EA0E29">
      <w:pPr>
        <w:ind w:firstLine="708"/>
        <w:jc w:val="both"/>
        <w:rPr>
          <w:rFonts w:ascii="Times New Roman" w:hAnsi="Times New Roman"/>
          <w:szCs w:val="24"/>
        </w:rPr>
      </w:pPr>
    </w:p>
    <w:p w:rsidR="00EA0E29" w:rsidRPr="008F777F" w:rsidRDefault="00EA0E29" w:rsidP="008F777F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8F777F">
        <w:rPr>
          <w:rFonts w:ascii="Times New Roman" w:hAnsi="Times New Roman"/>
          <w:szCs w:val="24"/>
        </w:rPr>
        <w:t>Произвести внешний осмотр вагона/контейнера на предмет наличия признаков доступа к грузу, следов повреждения или нарушения герметичности вагона/контейнера, проверить исправность запорных устройств, крепление люков вагона и т.д.;</w:t>
      </w:r>
      <w:r w:rsidRPr="008F777F">
        <w:rPr>
          <w:rFonts w:ascii="Times New Roman" w:hAnsi="Times New Roman"/>
          <w:szCs w:val="24"/>
        </w:rPr>
        <w:tab/>
      </w:r>
    </w:p>
    <w:p w:rsidR="00EA0E29" w:rsidRPr="008F777F" w:rsidRDefault="00EA0E29" w:rsidP="008F777F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8F777F">
        <w:rPr>
          <w:rFonts w:ascii="Times New Roman" w:hAnsi="Times New Roman"/>
          <w:szCs w:val="24"/>
        </w:rPr>
        <w:t xml:space="preserve">Проверить номера запорно-пломбировочных устройств (ЗПУ), за которыми прибыл вагон/контейнер, на их соответствие номерам ЗПУ отправителя, указанным в ж.-д. накладной. Снятые ЗПУ должны быть сохранены до окончательной разгрузки и подсчета количества доставленных мест. При обнаружении в процессе приемки недостачи груза, снятые с кузова транспортного средства пломбы должны быть сохранены и предоставлены в </w:t>
      </w:r>
      <w:r w:rsidR="00AA5562">
        <w:rPr>
          <w:rFonts w:ascii="Times New Roman" w:hAnsi="Times New Roman"/>
          <w:szCs w:val="24"/>
        </w:rPr>
        <w:t>АО «Зетта Страхование»</w:t>
      </w:r>
      <w:r w:rsidRPr="008F777F">
        <w:rPr>
          <w:rFonts w:ascii="Times New Roman" w:hAnsi="Times New Roman"/>
          <w:szCs w:val="24"/>
        </w:rPr>
        <w:t xml:space="preserve"> по его запросу.</w:t>
      </w:r>
      <w:r w:rsidRPr="008F777F">
        <w:rPr>
          <w:rFonts w:ascii="Times New Roman" w:hAnsi="Times New Roman"/>
          <w:szCs w:val="24"/>
        </w:rPr>
        <w:tab/>
      </w:r>
    </w:p>
    <w:p w:rsidR="008F777F" w:rsidRDefault="008F777F" w:rsidP="00EA0E29">
      <w:pPr>
        <w:ind w:firstLine="708"/>
        <w:jc w:val="both"/>
        <w:rPr>
          <w:rFonts w:ascii="Times New Roman" w:hAnsi="Times New Roman"/>
          <w:szCs w:val="24"/>
        </w:rPr>
      </w:pPr>
    </w:p>
    <w:p w:rsidR="008F777F" w:rsidRPr="003350D0" w:rsidRDefault="008F777F" w:rsidP="008F777F">
      <w:pPr>
        <w:ind w:firstLine="708"/>
        <w:jc w:val="both"/>
        <w:rPr>
          <w:rFonts w:ascii="Times New Roman" w:hAnsi="Times New Roman"/>
          <w:b/>
          <w:szCs w:val="24"/>
        </w:rPr>
      </w:pPr>
      <w:r w:rsidRPr="003350D0">
        <w:rPr>
          <w:rFonts w:ascii="Times New Roman" w:hAnsi="Times New Roman"/>
          <w:b/>
          <w:szCs w:val="24"/>
        </w:rPr>
        <w:t>II. Фиксация выявленных повреждений</w:t>
      </w:r>
    </w:p>
    <w:p w:rsidR="008F777F" w:rsidRDefault="008F777F" w:rsidP="00EA0E29">
      <w:pPr>
        <w:ind w:firstLine="708"/>
        <w:jc w:val="both"/>
        <w:rPr>
          <w:rFonts w:ascii="Times New Roman" w:hAnsi="Times New Roman"/>
          <w:szCs w:val="24"/>
        </w:rPr>
      </w:pPr>
    </w:p>
    <w:p w:rsidR="00EA0E29" w:rsidRPr="00EA0E29" w:rsidRDefault="00EA0E29" w:rsidP="00AA5562">
      <w:pPr>
        <w:ind w:left="708"/>
        <w:jc w:val="both"/>
        <w:rPr>
          <w:rFonts w:ascii="Times New Roman" w:hAnsi="Times New Roman"/>
          <w:szCs w:val="24"/>
        </w:rPr>
      </w:pPr>
      <w:r w:rsidRPr="00EA0E29">
        <w:rPr>
          <w:rFonts w:ascii="Times New Roman" w:hAnsi="Times New Roman"/>
          <w:szCs w:val="24"/>
        </w:rPr>
        <w:t>В случае обнаружения каких-либо неисправностей прибывшего вагона/контейнера или несоответствие номеров ЗПУ на вагоне/контейнере номерам ЗПУ, указанным в ж.-д. накладной, грузополучатель должен:</w:t>
      </w:r>
    </w:p>
    <w:p w:rsidR="00EA0E29" w:rsidRPr="00EA0E29" w:rsidRDefault="00EA0E29" w:rsidP="00EA0E29">
      <w:pPr>
        <w:ind w:firstLine="708"/>
        <w:jc w:val="both"/>
        <w:rPr>
          <w:rFonts w:ascii="Times New Roman" w:hAnsi="Times New Roman"/>
          <w:szCs w:val="24"/>
        </w:rPr>
      </w:pPr>
    </w:p>
    <w:p w:rsidR="00EA0E29" w:rsidRPr="00CC1004" w:rsidRDefault="00EA0E29" w:rsidP="00CC1004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CC1004">
        <w:rPr>
          <w:rFonts w:ascii="Times New Roman" w:hAnsi="Times New Roman"/>
          <w:szCs w:val="24"/>
        </w:rPr>
        <w:t>не принимая груз у ж.-д., потребовать от станции назначения участия представителей ж.-д. в проверке состояния и количества мест прибывшего груза, а также составления и выдачи Коммерческого акта. Аналогичное требование предъявляется грузополучателем к станции назначения в случае, если недостача/повреждение груза были обнаружены им на стадии разгрузки вагона/контейнер</w:t>
      </w:r>
      <w:r w:rsidR="00981702">
        <w:rPr>
          <w:rFonts w:ascii="Times New Roman" w:hAnsi="Times New Roman"/>
          <w:szCs w:val="24"/>
        </w:rPr>
        <w:t xml:space="preserve">а. </w:t>
      </w:r>
      <w:bookmarkStart w:id="0" w:name="_GoBack"/>
      <w:bookmarkEnd w:id="0"/>
      <w:r w:rsidRPr="00CC1004">
        <w:rPr>
          <w:rFonts w:ascii="Times New Roman" w:hAnsi="Times New Roman"/>
          <w:szCs w:val="24"/>
        </w:rPr>
        <w:t>Разгрузка вагона/контейнера должна быть приостановлена до получения ответа от ж.-д. В случае отказа ж.-д. станции назначения от участия в проверке состояния прибывшего груза либо в составлении или выдаче Коммерческого акта, грузополучателю следует обжаловать данное решение путем письменного обращения в адрес Управления (отделения) ж. д. назначения, передав жалобу через начальника станции назначения и получив от станции подтверждение приема жалобы в виде штемпеля станции на копии жалобы.</w:t>
      </w:r>
      <w:r w:rsidRPr="00CC1004">
        <w:rPr>
          <w:rFonts w:ascii="Times New Roman" w:hAnsi="Times New Roman"/>
          <w:szCs w:val="24"/>
        </w:rPr>
        <w:tab/>
      </w:r>
    </w:p>
    <w:p w:rsidR="00EA0E29" w:rsidRPr="00EA0E29" w:rsidRDefault="00EA0E29" w:rsidP="00EA0E29">
      <w:pPr>
        <w:ind w:firstLine="708"/>
        <w:jc w:val="both"/>
        <w:rPr>
          <w:rFonts w:ascii="Times New Roman" w:hAnsi="Times New Roman"/>
          <w:szCs w:val="24"/>
        </w:rPr>
      </w:pPr>
    </w:p>
    <w:p w:rsidR="00D7765E" w:rsidRPr="00753728" w:rsidRDefault="00EA0E29" w:rsidP="00AA5562">
      <w:pPr>
        <w:ind w:left="708"/>
        <w:jc w:val="both"/>
        <w:rPr>
          <w:rFonts w:ascii="Times New Roman" w:hAnsi="Times New Roman"/>
          <w:b/>
          <w:szCs w:val="24"/>
        </w:rPr>
      </w:pPr>
      <w:r w:rsidRPr="00EA0E29">
        <w:rPr>
          <w:rFonts w:ascii="Times New Roman" w:hAnsi="Times New Roman"/>
          <w:szCs w:val="24"/>
        </w:rPr>
        <w:t>После выполнения указанных действий получатель может принимать груз у ж.-д./возобновлять выгрузку груза. В данном случае выгрузку и приемку груза следует производить с участием эксперта ближайшего отделения Торгово-Промышленной Палаты (ТПП), поставив перед ними задачу по проверке состояния и количества доставленного груза, определения размера ущерба и, обязательно, наиболее вероятной причины повреждения груза.</w:t>
      </w:r>
      <w:r w:rsidRPr="00EA0E29">
        <w:rPr>
          <w:rFonts w:ascii="Times New Roman" w:hAnsi="Times New Roman"/>
          <w:szCs w:val="24"/>
        </w:rPr>
        <w:tab/>
      </w:r>
    </w:p>
    <w:p w:rsidR="00753728" w:rsidRPr="003350D0" w:rsidRDefault="00753728" w:rsidP="00D7765E">
      <w:pPr>
        <w:ind w:firstLine="708"/>
        <w:jc w:val="both"/>
        <w:rPr>
          <w:rFonts w:ascii="Times New Roman" w:hAnsi="Times New Roman"/>
          <w:szCs w:val="24"/>
        </w:rPr>
      </w:pPr>
    </w:p>
    <w:p w:rsidR="00D7765E" w:rsidRPr="003350D0" w:rsidRDefault="00D7765E" w:rsidP="00D7765E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sectPr w:rsidR="00D7765E" w:rsidRPr="003350D0" w:rsidSect="00872A0F">
      <w:footerReference w:type="first" r:id="rId7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35" w:rsidRDefault="00620B35" w:rsidP="00AA55D2">
      <w:r>
        <w:separator/>
      </w:r>
    </w:p>
  </w:endnote>
  <w:endnote w:type="continuationSeparator" w:id="0">
    <w:p w:rsidR="00620B35" w:rsidRDefault="00620B35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35" w:rsidRDefault="00620B35" w:rsidP="00AA55D2">
      <w:r>
        <w:separator/>
      </w:r>
    </w:p>
  </w:footnote>
  <w:footnote w:type="continuationSeparator" w:id="0">
    <w:p w:rsidR="00620B35" w:rsidRDefault="00620B35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AEE"/>
    <w:multiLevelType w:val="hybridMultilevel"/>
    <w:tmpl w:val="7F3C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95456"/>
    <w:multiLevelType w:val="hybridMultilevel"/>
    <w:tmpl w:val="7B6C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2D9"/>
    <w:multiLevelType w:val="hybridMultilevel"/>
    <w:tmpl w:val="C0A03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41B2"/>
    <w:multiLevelType w:val="hybridMultilevel"/>
    <w:tmpl w:val="EB78031C"/>
    <w:lvl w:ilvl="0" w:tplc="F84C2BD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CF6501"/>
    <w:multiLevelType w:val="hybridMultilevel"/>
    <w:tmpl w:val="3E2A4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E96"/>
    <w:multiLevelType w:val="hybridMultilevel"/>
    <w:tmpl w:val="09B6C7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21410"/>
    <w:multiLevelType w:val="hybridMultilevel"/>
    <w:tmpl w:val="15B8B4CC"/>
    <w:lvl w:ilvl="0" w:tplc="560A0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4362"/>
    <w:multiLevelType w:val="hybridMultilevel"/>
    <w:tmpl w:val="850EEAC8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0799"/>
    <w:multiLevelType w:val="hybridMultilevel"/>
    <w:tmpl w:val="5D7E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C4073"/>
    <w:multiLevelType w:val="hybridMultilevel"/>
    <w:tmpl w:val="4BA80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C75A4"/>
    <w:multiLevelType w:val="hybridMultilevel"/>
    <w:tmpl w:val="ECA4E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6F37"/>
    <w:multiLevelType w:val="hybridMultilevel"/>
    <w:tmpl w:val="91609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03EB"/>
    <w:multiLevelType w:val="hybridMultilevel"/>
    <w:tmpl w:val="1436D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21F6"/>
    <w:multiLevelType w:val="hybridMultilevel"/>
    <w:tmpl w:val="09EE2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18"/>
  </w:num>
  <w:num w:numId="8">
    <w:abstractNumId w:val="7"/>
  </w:num>
  <w:num w:numId="9">
    <w:abstractNumId w:val="17"/>
  </w:num>
  <w:num w:numId="10">
    <w:abstractNumId w:val="6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2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936A0"/>
    <w:rsid w:val="000C5244"/>
    <w:rsid w:val="000F18F9"/>
    <w:rsid w:val="00192F76"/>
    <w:rsid w:val="001941C1"/>
    <w:rsid w:val="00270B1B"/>
    <w:rsid w:val="00315886"/>
    <w:rsid w:val="003350D0"/>
    <w:rsid w:val="00465B2F"/>
    <w:rsid w:val="0048651A"/>
    <w:rsid w:val="004B0D25"/>
    <w:rsid w:val="0058479A"/>
    <w:rsid w:val="00585526"/>
    <w:rsid w:val="005A5A7A"/>
    <w:rsid w:val="005E0BC1"/>
    <w:rsid w:val="005E138E"/>
    <w:rsid w:val="00620B35"/>
    <w:rsid w:val="00627B35"/>
    <w:rsid w:val="00640FA8"/>
    <w:rsid w:val="006936A5"/>
    <w:rsid w:val="006B2724"/>
    <w:rsid w:val="00743DC0"/>
    <w:rsid w:val="00753728"/>
    <w:rsid w:val="00760297"/>
    <w:rsid w:val="00872A0F"/>
    <w:rsid w:val="00882625"/>
    <w:rsid w:val="008B1B35"/>
    <w:rsid w:val="008F777F"/>
    <w:rsid w:val="00945B67"/>
    <w:rsid w:val="00981702"/>
    <w:rsid w:val="009C2CAD"/>
    <w:rsid w:val="00AA5562"/>
    <w:rsid w:val="00AA55D2"/>
    <w:rsid w:val="00B6453B"/>
    <w:rsid w:val="00B93636"/>
    <w:rsid w:val="00C13D8C"/>
    <w:rsid w:val="00C26800"/>
    <w:rsid w:val="00C56E24"/>
    <w:rsid w:val="00CC1004"/>
    <w:rsid w:val="00D47997"/>
    <w:rsid w:val="00D7765E"/>
    <w:rsid w:val="00E42D72"/>
    <w:rsid w:val="00E535DB"/>
    <w:rsid w:val="00EA0E29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3178B"/>
  <w15:chartTrackingRefBased/>
  <w15:docId w15:val="{B2C29059-90C0-4B16-BDF1-1A1ED54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14</cp:revision>
  <dcterms:created xsi:type="dcterms:W3CDTF">2019-01-21T08:32:00Z</dcterms:created>
  <dcterms:modified xsi:type="dcterms:W3CDTF">2022-08-22T10:52:00Z</dcterms:modified>
</cp:coreProperties>
</file>